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100" w:beforeAutospacing="1" w:after="100" w:afterAutospacing="1"/>
        <w:rPr>
          <w:rFonts w:ascii="Arial" w:hAnsi="Arial" w:eastAsia="Times New Roman" w:cs="Arial"/>
          <w:sz w:val="48"/>
          <w:szCs w:val="48"/>
          <w:lang w:eastAsia="en-GB"/>
        </w:rPr>
        <w:outlineLvl w:val="0"/>
      </w:pPr>
      <w:r>
        <w:rPr>
          <w:rFonts w:ascii="Arial" w:hAnsi="Arial" w:eastAsia="Times New Roman" w:cs="Arial"/>
          <w:sz w:val="48"/>
          <w:szCs w:val="48"/>
          <w:lang w:eastAsia="en-GB"/>
        </w:rPr>
        <w:t xml:space="preserve">Sensitive data and information standards – shared territory with rich rewards</w:t>
      </w:r>
      <w:r/>
    </w:p>
    <w:p>
      <w:pPr>
        <w:spacing w:before="100" w:beforeAutospacing="1" w:after="100" w:afterAutospacing="1"/>
        <w:rPr>
          <w:rFonts w:ascii="Arial" w:hAnsi="Arial" w:eastAsia="Times New Roman" w:cs="Arial"/>
          <w:lang w:eastAsia="en-GB"/>
        </w:rPr>
      </w:pPr>
      <w:r>
        <w:rPr>
          <w:rFonts w:ascii="Arial" w:hAnsi="Arial" w:eastAsia="Times New Roman" w:cs="Arial"/>
          <w:u w:val="single"/>
          <w:lang w:eastAsia="en-GB"/>
        </w:rPr>
        <w:t xml:space="preserve">Dr Steven McEachern</w:t>
      </w:r>
      <w:r>
        <w:rPr>
          <w:rFonts w:ascii="Arial" w:hAnsi="Arial" w:eastAsia="Times New Roman" w:cs="Arial"/>
          <w:u w:val="single"/>
          <w:vertAlign w:val="superscript"/>
          <w:lang w:eastAsia="en-GB"/>
        </w:rPr>
        <w:t xml:space="preserve">1</w:t>
      </w:r>
      <w:r>
        <w:rPr>
          <w:rFonts w:ascii="Arial" w:hAnsi="Arial" w:eastAsia="Times New Roman" w:cs="Arial"/>
          <w:u w:val="single"/>
          <w:lang w:eastAsia="en-GB"/>
        </w:rPr>
        <w:t xml:space="preserve">, Ingrid Mason</w:t>
      </w:r>
      <w:r>
        <w:rPr>
          <w:rFonts w:ascii="Arial" w:hAnsi="Arial" w:eastAsia="Times New Roman" w:cs="Arial"/>
          <w:u w:val="single"/>
          <w:vertAlign w:val="superscript"/>
          <w:lang w:eastAsia="en-GB"/>
        </w:rPr>
        <w:t xml:space="preserve">1</w:t>
      </w:r>
      <w:r>
        <w:rPr>
          <w:rFonts w:ascii="Arial" w:hAnsi="Arial" w:eastAsia="Times New Roman" w:cs="Arial"/>
          <w:u w:val="single"/>
          <w:lang w:eastAsia="en-GB"/>
        </w:rPr>
        <w:t xml:space="preserve">,</w:t>
      </w:r>
      <w:r>
        <w:rPr>
          <w:rFonts w:ascii="Arial" w:hAnsi="Arial" w:eastAsia="Times New Roman" w:cs="Arial"/>
          <w:lang w:eastAsia="en-GB"/>
        </w:rPr>
        <w:t xml:space="preserve"> John Scullen</w:t>
      </w:r>
      <w:r>
        <w:rPr>
          <w:rFonts w:ascii="Arial" w:hAnsi="Arial" w:eastAsia="Times New Roman" w:cs="Arial"/>
          <w:vertAlign w:val="superscript"/>
          <w:lang w:eastAsia="en-GB"/>
        </w:rPr>
        <w:t xml:space="preserve">2</w:t>
      </w:r>
      <w:r>
        <w:rPr>
          <w:rFonts w:ascii="Arial" w:hAnsi="Arial" w:eastAsia="Times New Roman" w:cs="Arial"/>
          <w:lang w:eastAsia="en-GB"/>
        </w:rPr>
        <w:t xml:space="preserve">, A/Prof Amir Aryani</w:t>
      </w:r>
      <w:r>
        <w:rPr>
          <w:rFonts w:ascii="Arial" w:hAnsi="Arial" w:eastAsia="Times New Roman" w:cs="Arial"/>
          <w:vertAlign w:val="superscript"/>
          <w:lang w:eastAsia="en-GB"/>
        </w:rPr>
        <w:t xml:space="preserve">3</w:t>
      </w:r>
      <w:r>
        <w:rPr>
          <w:rFonts w:ascii="Arial" w:hAnsi="Arial" w:eastAsia="Times New Roman" w:cs="Arial"/>
          <w:lang w:eastAsia="en-GB"/>
        </w:rPr>
        <w:t xml:space="preserve">, </w:t>
      </w:r>
      <w:r>
        <w:rPr>
          <w:rFonts w:ascii="Arial" w:hAnsi="Arial" w:eastAsia="Times New Roman" w:cs="Arial"/>
          <w:u w:val="single"/>
          <w:lang w:eastAsia="en-GB"/>
        </w:rPr>
        <w:t xml:space="preserve">Peter Vats</w:t>
      </w:r>
      <w:r>
        <w:rPr>
          <w:rFonts w:ascii="Arial" w:hAnsi="Arial" w:eastAsia="Times New Roman" w:cs="Arial"/>
          <w:u w:val="single"/>
          <w:vertAlign w:val="superscript"/>
          <w:lang w:eastAsia="en-GB"/>
        </w:rPr>
        <w:t xml:space="preserve">4</w:t>
      </w:r>
      <w:r/>
    </w:p>
    <w:p>
      <w:pPr>
        <w:spacing w:before="100" w:beforeAutospacing="1" w:after="100" w:afterAutospacing="1"/>
        <w:rPr>
          <w:rFonts w:ascii="Arial" w:hAnsi="Arial" w:eastAsia="Times New Roman" w:cs="Arial"/>
          <w:lang w:eastAsia="en-GB"/>
        </w:rPr>
      </w:pPr>
      <w:r>
        <w:rPr>
          <w:rFonts w:ascii="Arial" w:hAnsi="Arial" w:eastAsia="Times New Roman" w:cs="Arial"/>
          <w:vertAlign w:val="superscript"/>
          <w:lang w:eastAsia="en-GB"/>
        </w:rPr>
        <w:t xml:space="preserve">1</w:t>
      </w:r>
      <w:r>
        <w:rPr>
          <w:rFonts w:ascii="Arial" w:hAnsi="Arial" w:eastAsia="Times New Roman" w:cs="Arial"/>
          <w:lang w:eastAsia="en-GB"/>
        </w:rPr>
        <w:t xml:space="preserve">Australian National University, Canberra, Australia</w:t>
      </w:r>
      <w:r>
        <w:rPr>
          <w:rFonts w:ascii="Arial" w:hAnsi="Arial" w:eastAsia="Times New Roman" w:cs="Arial"/>
          <w:lang w:eastAsia="en-GB"/>
        </w:rPr>
        <w:br/>
      </w:r>
      <w:r>
        <w:rPr>
          <w:rFonts w:ascii="Arial" w:hAnsi="Arial" w:eastAsia="Times New Roman" w:cs="Arial"/>
          <w:vertAlign w:val="superscript"/>
          <w:lang w:eastAsia="en-GB"/>
        </w:rPr>
        <w:t xml:space="preserve">2</w:t>
      </w:r>
      <w:r>
        <w:rPr>
          <w:rFonts w:ascii="Arial" w:hAnsi="Arial" w:eastAsia="Times New Roman" w:cs="Arial"/>
          <w:lang w:eastAsia="en-GB"/>
        </w:rPr>
        <w:t xml:space="preserve">Australian Access Federation, Brisbane, Australia</w:t>
      </w:r>
      <w:r>
        <w:rPr>
          <w:rFonts w:ascii="Arial" w:hAnsi="Arial" w:eastAsia="Times New Roman" w:cs="Arial"/>
          <w:lang w:eastAsia="en-GB"/>
        </w:rPr>
        <w:br/>
      </w:r>
      <w:r>
        <w:rPr>
          <w:rFonts w:ascii="Arial" w:hAnsi="Arial" w:eastAsia="Times New Roman" w:cs="Arial"/>
          <w:vertAlign w:val="superscript"/>
          <w:lang w:eastAsia="en-GB"/>
        </w:rPr>
        <w:t xml:space="preserve">3</w:t>
      </w:r>
      <w:r>
        <w:rPr>
          <w:rFonts w:ascii="Arial" w:hAnsi="Arial" w:eastAsia="Times New Roman" w:cs="Arial"/>
          <w:lang w:eastAsia="en-GB"/>
        </w:rPr>
        <w:t xml:space="preserve">Swinburne University, Melbourne, Australia</w:t>
      </w:r>
      <w:r>
        <w:rPr>
          <w:rFonts w:ascii="Arial" w:hAnsi="Arial" w:eastAsia="Times New Roman" w:cs="Arial"/>
          <w:lang w:eastAsia="en-GB"/>
        </w:rPr>
        <w:br/>
      </w:r>
      <w:r>
        <w:rPr>
          <w:rFonts w:ascii="Arial" w:hAnsi="Arial" w:eastAsia="Times New Roman" w:cs="Arial"/>
          <w:vertAlign w:val="superscript"/>
          <w:lang w:eastAsia="en-GB"/>
        </w:rPr>
        <w:t xml:space="preserve">4</w:t>
      </w:r>
      <w:r>
        <w:rPr>
          <w:rFonts w:ascii="Arial" w:hAnsi="Arial" w:eastAsia="Times New Roman" w:cs="Arial"/>
          <w:lang w:eastAsia="en-GB"/>
        </w:rPr>
        <w:t xml:space="preserve">Research Graph Foundation, Melbourne, Australia</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Sharing the challenges of mediating and managing sensitive data access requests reinforces the value of new collaborations across sector bound</w:t>
      </w:r>
      <w:r>
        <w:rPr>
          <w:rFonts w:ascii="Arial" w:hAnsi="Arial" w:eastAsia="Times New Roman" w:cs="Arial"/>
          <w:lang w:eastAsia="en-GB"/>
        </w:rPr>
        <w:t xml:space="preserve">aries centred around governance, information standards and data management – and – embracing complexity. The Coordinated Access for Data, Research and Environments (CADRE) platform project is developing an operational model that addresses a common problem.</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The CADRE team are developing a conceptual framework for efficiently and reliably connecting the elements of the Fiv</w:t>
      </w:r>
      <w:r>
        <w:rPr>
          <w:rFonts w:ascii="Arial" w:hAnsi="Arial" w:eastAsia="Times New Roman" w:cs="Arial"/>
          <w:lang w:eastAsia="en-GB"/>
        </w:rPr>
        <w:t xml:space="preserve">e Safes principles that leverages established protocols for exchanging attribute data between users, service providers, and identity sources (based on the Australian Access Federation and augmented scholarly information from the Research Graph Foundation).</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Convergence around the translation of the Five Safes principles captured as a conceptual framework and information model (und</w:t>
      </w:r>
      <w:r>
        <w:rPr>
          <w:rFonts w:ascii="Arial" w:hAnsi="Arial" w:eastAsia="Times New Roman" w:cs="Arial"/>
          <w:lang w:eastAsia="en-GB"/>
        </w:rPr>
        <w:t xml:space="preserve">erpinning the information exchange) came easily.  Treating “research” as an ecosystem with shared – and – divergent processes and different tolerances for risk assessment and decision-making is shaping the information exchange design.  The design includes:</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 Dashboard and alerts – assistance around access and provisioning (decision-support system)</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 Better pipelines across the system – augmentation of data (better information)</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 Visibility and traceability of the outputs (footprint) – public scholarly information</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Stakeholder involvement in CADRE project is complex, with ten participating partner organisations.  Partners participate in the Content and Technical Working Groups thr</w:t>
      </w:r>
      <w:r>
        <w:rPr>
          <w:rFonts w:ascii="Arial" w:hAnsi="Arial" w:eastAsia="Times New Roman" w:cs="Arial"/>
          <w:lang w:eastAsia="en-GB"/>
        </w:rPr>
        <w:t xml:space="preserve">oughout and the information design tested and reviewed as each Safe Setting is piloted.  Pooling requirements for decision-support and risk assessment revealed early the value of working with complexity and a need for flexibility in architectural approach.</w:t>
      </w:r>
      <w:r/>
    </w:p>
    <w:p>
      <w:pPr>
        <w:rPr>
          <w:rFonts w:ascii="Arial" w:hAnsi="Arial" w:eastAsia="Times New Roman" w:cs="Arial"/>
          <w:lang w:eastAsia="en-GB"/>
        </w:rPr>
      </w:pPr>
      <w:r>
        <w:rPr>
          <w:rFonts w:ascii="Arial" w:hAnsi="Arial" w:eastAsia="Times New Roman" w:cs="Arial"/>
          <w:lang w:eastAsia="en-GB"/>
        </w:rPr>
        <mc:AlternateContent>
          <mc:Choice Requires="wpg">
            <w:drawing>
              <wp:inline xmlns:wp="http://schemas.openxmlformats.org/drawingml/2006/wordprocessingDrawing" distT="0" distB="0" distL="0" distR="0">
                <wp:extent cx="5731510" cy="635"/>
                <wp:effectExtent l="0" t="0" r="0" b="0"/>
                <wp:docPr id="1" name="_x0000_i1025"/>
                <wp:cNvGraphicFramePr/>
                <a:graphic xmlns:a="http://schemas.openxmlformats.org/drawingml/2006/main">
                  <a:graphicData uri="http://schemas.microsoft.com/office/word/2010/wordprocessingShape">
                    <wps:wsp>
                      <wps:cNvPr id="0" name=""/>
                      <wps:cNvSpPr/>
                      <wps:spPr bwMode="auto">
                        <a:xfrm>
                          <a:off x="0" y="0"/>
                          <a:ext cx="5731510" cy="635"/>
                        </a:xfrm>
                        <a:prstGeom prst="rect">
                          <a:avLst/>
                        </a:prstGeom>
                        <a:solidFill>
                          <a:srgbClr val="A0A0A0"/>
                        </a:solidFill>
                        <a:ln>
                          <a:noFill/>
                        </a:ln>
                      </wps:spPr>
                      <wps:bodyPr rot="0">
                        <a:prstTxWarp prst="textNoShape">
                          <a:avLst/>
                        </a:prstTxWarp>
                        <a:noAutofit/>
                      </wps:bodyPr>
                    </wps:wsp>
                  </a:graphicData>
                </a:graphic>
              </wp:inline>
            </w:drawing>
          </mc:Choice>
          <mc:Fallback>
            <w:pict>
              <v:shape id="shape 0" o:spid="_x0000_s0" o:spt="1" type="#_x0000_t1" style="width:451.3pt;height:0.0pt;mso-wrap-distance-left:0.0pt;mso-wrap-distance-top:0.0pt;mso-wrap-distance-right:0.0pt;mso-wrap-distance-bottom:0.0pt;visibility:visible;" fillcolor="#A0A0A0" stroked="f"/>
            </w:pict>
          </mc:Fallback>
        </mc:AlternateConten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Biography:</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Dr Steven McEachern is the Director of the Australian Data Archive and CADRE project lead (ANU).</w:t>
      </w:r>
      <w:r/>
    </w:p>
    <w:p>
      <w:pPr>
        <w:spacing w:before="100" w:beforeAutospacing="1" w:after="100" w:afterAutospacing="1"/>
        <w:rPr>
          <w:rFonts w:ascii="Arial" w:hAnsi="Arial" w:eastAsia="Times New Roman" w:cs="Arial"/>
          <w:lang w:eastAsia="en-GB"/>
        </w:rPr>
      </w:pPr>
      <w:r/>
      <w:hyperlink r:id="rId8" w:tooltip="https://orcid.org/0000-0001-7848-4912" w:history="1">
        <w:r>
          <w:rPr>
            <w:rStyle w:val="608"/>
            <w:rFonts w:ascii="Arial" w:hAnsi="Arial" w:eastAsia="Times New Roman" w:cs="Arial"/>
            <w:lang w:eastAsia="en-GB"/>
          </w:rPr>
          <w:t xml:space="preserve">https://orcid.org/0000-0001-7848-4912</w:t>
        </w:r>
      </w:hyperlink>
      <w:r>
        <w:rPr>
          <w:rFonts w:ascii="Arial" w:hAnsi="Arial" w:eastAsia="Times New Roman" w:cs="Arial"/>
          <w:lang w:eastAsia="en-GB"/>
        </w:rPr>
        <w:t xml:space="preserve"> </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Ingrid Mason is the CADRE project and technical manager (ANU).</w:t>
      </w:r>
      <w:r/>
    </w:p>
    <w:p>
      <w:pPr>
        <w:spacing w:before="100" w:beforeAutospacing="1" w:after="100" w:afterAutospacing="1"/>
        <w:rPr>
          <w:rFonts w:ascii="Arial" w:hAnsi="Arial" w:eastAsia="Times New Roman" w:cs="Arial"/>
          <w:lang w:eastAsia="en-GB"/>
        </w:rPr>
      </w:pPr>
      <w:r/>
      <w:hyperlink r:id="rId9" w:tooltip="https://orcid.org/0000-0002-0658-6095" w:history="1">
        <w:r>
          <w:rPr>
            <w:rStyle w:val="608"/>
            <w:rFonts w:ascii="Arial" w:hAnsi="Arial" w:eastAsia="Times New Roman" w:cs="Arial"/>
            <w:lang w:eastAsia="en-GB"/>
          </w:rPr>
          <w:t xml:space="preserve">https://orcid.org/0000-0002-0658-6095</w:t>
        </w:r>
      </w:hyperlink>
      <w:r>
        <w:rPr>
          <w:rFonts w:ascii="Arial" w:hAnsi="Arial" w:eastAsia="Times New Roman" w:cs="Arial"/>
          <w:lang w:eastAsia="en-GB"/>
        </w:rPr>
        <w:t xml:space="preserve"> </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John Scullen is the Head, Projects &amp; Managed Services for the Australian Access Federation and a CADRE partner lead.</w:t>
      </w:r>
      <w:r/>
    </w:p>
    <w:p>
      <w:pPr>
        <w:spacing w:before="100" w:beforeAutospacing="1" w:after="100" w:afterAutospacing="1"/>
        <w:rPr>
          <w:rFonts w:ascii="Arial" w:hAnsi="Arial" w:eastAsia="Times New Roman" w:cs="Arial"/>
          <w:lang w:eastAsia="en-GB"/>
        </w:rPr>
      </w:pPr>
      <w:r/>
      <w:hyperlink r:id="rId10" w:tooltip="https://orcid.org/0000-0002-0390-4377" w:history="1">
        <w:r>
          <w:rPr>
            <w:rStyle w:val="608"/>
            <w:rFonts w:ascii="Arial" w:hAnsi="Arial" w:eastAsia="Times New Roman" w:cs="Arial"/>
            <w:lang w:eastAsia="en-GB"/>
          </w:rPr>
          <w:t xml:space="preserve">https://orcid.org/0000-0002-0390-4377</w:t>
        </w:r>
      </w:hyperlink>
      <w:r>
        <w:rPr>
          <w:rFonts w:ascii="Arial" w:hAnsi="Arial" w:eastAsia="Times New Roman" w:cs="Arial"/>
          <w:lang w:eastAsia="en-GB"/>
        </w:rPr>
        <w:t xml:space="preserve"> </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A/Prof Amir Aryani is the Head of the Social Data Analytics Lab at Swinburne University and a CADRE partner lead.</w:t>
      </w:r>
      <w:r/>
    </w:p>
    <w:p>
      <w:pPr>
        <w:spacing w:before="100" w:beforeAutospacing="1" w:after="100" w:afterAutospacing="1"/>
        <w:rPr>
          <w:rFonts w:ascii="Arial" w:hAnsi="Arial" w:eastAsia="Times New Roman" w:cs="Arial"/>
          <w:lang w:eastAsia="en-GB"/>
        </w:rPr>
      </w:pPr>
      <w:r/>
      <w:hyperlink r:id="rId11" w:tooltip="https://orcid.org/0000-0002-4259-977" w:history="1">
        <w:r>
          <w:rPr>
            <w:rStyle w:val="608"/>
            <w:rFonts w:ascii="Arial" w:hAnsi="Arial" w:eastAsia="Times New Roman" w:cs="Arial"/>
            <w:lang w:eastAsia="en-GB"/>
          </w:rPr>
          <w:t xml:space="preserve">https://orcid.org/0000-0002-4259-977</w:t>
        </w:r>
      </w:hyperlink>
      <w:r>
        <w:rPr>
          <w:rFonts w:ascii="Arial" w:hAnsi="Arial" w:eastAsia="Times New Roman" w:cs="Arial"/>
          <w:lang w:eastAsia="en-GB"/>
        </w:rPr>
        <w:t xml:space="preserve"> </w:t>
      </w:r>
      <w:r/>
    </w:p>
    <w:p>
      <w:pPr>
        <w:spacing w:before="100" w:beforeAutospacing="1" w:after="100" w:afterAutospacing="1"/>
        <w:rPr>
          <w:rFonts w:ascii="Arial" w:hAnsi="Arial" w:eastAsia="Times New Roman" w:cs="Arial"/>
          <w:lang w:eastAsia="en-GB"/>
        </w:rPr>
      </w:pPr>
      <w:r>
        <w:rPr>
          <w:rFonts w:ascii="Arial" w:hAnsi="Arial" w:eastAsia="Times New Roman" w:cs="Arial"/>
          <w:lang w:eastAsia="en-GB"/>
        </w:rPr>
        <w:t xml:space="preserve">Peter Vats is the Executive Director of the Research Graph Foundation and a CADRE partner lead.</w:t>
      </w:r>
      <w:r/>
    </w:p>
    <w:p>
      <w:pPr>
        <w:spacing w:before="100" w:beforeAutospacing="1" w:after="100" w:afterAutospacing="1"/>
        <w:rPr>
          <w:rFonts w:ascii="Arial" w:hAnsi="Arial" w:eastAsia="Times New Roman" w:cs="Arial"/>
          <w:lang w:eastAsia="en-GB"/>
        </w:rPr>
      </w:pPr>
      <w:r/>
      <w:hyperlink r:id="rId12" w:tooltip="https://orcid.org/0000-0002-3961-067X" w:history="1">
        <w:r>
          <w:rPr>
            <w:rStyle w:val="608"/>
            <w:rFonts w:ascii="Arial" w:hAnsi="Arial" w:eastAsia="Times New Roman" w:cs="Arial"/>
            <w:lang w:eastAsia="en-GB"/>
          </w:rPr>
          <w:t xml:space="preserve">https://orcid.org/0000-0002-3961-067X</w:t>
        </w:r>
      </w:hyperlink>
      <w:r>
        <w:rPr>
          <w:rFonts w:ascii="Arial" w:hAnsi="Arial" w:eastAsia="Times New Roman" w:cs="Arial"/>
          <w:lang w:eastAsia="en-GB"/>
        </w:rPr>
        <w:t xml:space="preserve"> </w:t>
      </w:r>
      <w:r/>
    </w:p>
    <w:p>
      <w:pPr>
        <w:rPr>
          <w:rFonts w:ascii="Arial" w:hAnsi="Arial" w:cs="Arial"/>
        </w:rPr>
      </w:pPr>
      <w:r>
        <w:rPr>
          <w:rFonts w:ascii="Arial" w:hAnsi="Arial" w:cs="Arial"/>
        </w:rPr>
      </w:r>
      <w:r/>
    </w:p>
    <w:sectPr>
      <w:footnotePr/>
      <w:endnotePr/>
      <w:type w:val="nextPage"/>
      <w:pgSz w:w="11906" w:h="16838" w:orient="portrait"/>
      <w:pgMar w:top="1440" w:right="1440" w:bottom="1440" w:left="144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en-A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
    <w:name w:val="Heading 2"/>
    <w:basedOn w:val="599"/>
    <w:next w:val="599"/>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01"/>
    <w:link w:val="15"/>
    <w:uiPriority w:val="9"/>
    <w:rPr>
      <w:rFonts w:ascii="Arial" w:hAnsi="Arial" w:eastAsia="Arial" w:cs="Arial"/>
      <w:sz w:val="34"/>
    </w:rPr>
  </w:style>
  <w:style w:type="paragraph" w:styleId="17">
    <w:name w:val="Heading 3"/>
    <w:basedOn w:val="599"/>
    <w:next w:val="599"/>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01"/>
    <w:link w:val="17"/>
    <w:uiPriority w:val="9"/>
    <w:rPr>
      <w:rFonts w:ascii="Arial" w:hAnsi="Arial" w:eastAsia="Arial" w:cs="Arial"/>
      <w:sz w:val="30"/>
      <w:szCs w:val="30"/>
    </w:rPr>
  </w:style>
  <w:style w:type="paragraph" w:styleId="19">
    <w:name w:val="Heading 4"/>
    <w:basedOn w:val="599"/>
    <w:next w:val="599"/>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01"/>
    <w:link w:val="19"/>
    <w:uiPriority w:val="9"/>
    <w:rPr>
      <w:rFonts w:ascii="Arial" w:hAnsi="Arial" w:eastAsia="Arial" w:cs="Arial"/>
      <w:b/>
      <w:bCs/>
      <w:sz w:val="26"/>
      <w:szCs w:val="26"/>
    </w:rPr>
  </w:style>
  <w:style w:type="paragraph" w:styleId="21">
    <w:name w:val="Heading 5"/>
    <w:basedOn w:val="599"/>
    <w:next w:val="599"/>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01"/>
    <w:link w:val="21"/>
    <w:uiPriority w:val="9"/>
    <w:rPr>
      <w:rFonts w:ascii="Arial" w:hAnsi="Arial" w:eastAsia="Arial" w:cs="Arial"/>
      <w:b/>
      <w:bCs/>
      <w:sz w:val="24"/>
      <w:szCs w:val="24"/>
    </w:rPr>
  </w:style>
  <w:style w:type="paragraph" w:styleId="23">
    <w:name w:val="Heading 6"/>
    <w:basedOn w:val="599"/>
    <w:next w:val="599"/>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01"/>
    <w:link w:val="23"/>
    <w:uiPriority w:val="9"/>
    <w:rPr>
      <w:rFonts w:ascii="Arial" w:hAnsi="Arial" w:eastAsia="Arial" w:cs="Arial"/>
      <w:b/>
      <w:bCs/>
      <w:sz w:val="22"/>
      <w:szCs w:val="22"/>
    </w:rPr>
  </w:style>
  <w:style w:type="paragraph" w:styleId="25">
    <w:name w:val="Heading 7"/>
    <w:basedOn w:val="599"/>
    <w:next w:val="599"/>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01"/>
    <w:link w:val="25"/>
    <w:uiPriority w:val="9"/>
    <w:rPr>
      <w:rFonts w:ascii="Arial" w:hAnsi="Arial" w:eastAsia="Arial" w:cs="Arial"/>
      <w:b/>
      <w:bCs/>
      <w:i/>
      <w:iCs/>
      <w:sz w:val="22"/>
      <w:szCs w:val="22"/>
    </w:rPr>
  </w:style>
  <w:style w:type="paragraph" w:styleId="27">
    <w:name w:val="Heading 8"/>
    <w:basedOn w:val="599"/>
    <w:next w:val="599"/>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01"/>
    <w:link w:val="27"/>
    <w:uiPriority w:val="9"/>
    <w:rPr>
      <w:rFonts w:ascii="Arial" w:hAnsi="Arial" w:eastAsia="Arial" w:cs="Arial"/>
      <w:i/>
      <w:iCs/>
      <w:sz w:val="22"/>
      <w:szCs w:val="22"/>
    </w:rPr>
  </w:style>
  <w:style w:type="paragraph" w:styleId="29">
    <w:name w:val="Heading 9"/>
    <w:basedOn w:val="599"/>
    <w:next w:val="599"/>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01"/>
    <w:link w:val="29"/>
    <w:uiPriority w:val="9"/>
    <w:rPr>
      <w:rFonts w:ascii="Arial" w:hAnsi="Arial" w:eastAsia="Arial" w:cs="Arial"/>
      <w:i/>
      <w:iCs/>
      <w:sz w:val="21"/>
      <w:szCs w:val="21"/>
    </w:rPr>
  </w:style>
  <w:style w:type="paragraph" w:styleId="31">
    <w:name w:val="List Paragraph"/>
    <w:basedOn w:val="599"/>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599"/>
    <w:next w:val="599"/>
    <w:link w:val="35"/>
    <w:uiPriority w:val="10"/>
    <w:qFormat/>
    <w:pPr>
      <w:contextualSpacing/>
      <w:spacing w:before="300" w:after="200"/>
    </w:pPr>
    <w:rPr>
      <w:sz w:val="48"/>
      <w:szCs w:val="48"/>
    </w:rPr>
  </w:style>
  <w:style w:type="character" w:styleId="35">
    <w:name w:val="Title Char"/>
    <w:basedOn w:val="601"/>
    <w:link w:val="34"/>
    <w:uiPriority w:val="10"/>
    <w:rPr>
      <w:sz w:val="48"/>
      <w:szCs w:val="48"/>
    </w:rPr>
  </w:style>
  <w:style w:type="paragraph" w:styleId="36">
    <w:name w:val="Subtitle"/>
    <w:basedOn w:val="599"/>
    <w:next w:val="599"/>
    <w:link w:val="37"/>
    <w:uiPriority w:val="11"/>
    <w:qFormat/>
    <w:pPr>
      <w:spacing w:before="200" w:after="200"/>
    </w:pPr>
    <w:rPr>
      <w:sz w:val="24"/>
      <w:szCs w:val="24"/>
    </w:rPr>
  </w:style>
  <w:style w:type="character" w:styleId="37">
    <w:name w:val="Subtitle Char"/>
    <w:basedOn w:val="601"/>
    <w:link w:val="36"/>
    <w:uiPriority w:val="11"/>
    <w:rPr>
      <w:sz w:val="24"/>
      <w:szCs w:val="24"/>
    </w:rPr>
  </w:style>
  <w:style w:type="paragraph" w:styleId="38">
    <w:name w:val="Quote"/>
    <w:basedOn w:val="599"/>
    <w:next w:val="599"/>
    <w:link w:val="39"/>
    <w:uiPriority w:val="29"/>
    <w:qFormat/>
    <w:pPr>
      <w:ind w:left="720" w:right="720"/>
    </w:pPr>
    <w:rPr>
      <w:i/>
    </w:rPr>
  </w:style>
  <w:style w:type="character" w:styleId="39">
    <w:name w:val="Quote Char"/>
    <w:link w:val="38"/>
    <w:uiPriority w:val="29"/>
    <w:rPr>
      <w:i/>
    </w:rPr>
  </w:style>
  <w:style w:type="paragraph" w:styleId="40">
    <w:name w:val="Intense Quote"/>
    <w:basedOn w:val="599"/>
    <w:next w:val="599"/>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599"/>
    <w:link w:val="43"/>
    <w:uiPriority w:val="99"/>
    <w:unhideWhenUsed/>
    <w:pPr>
      <w:spacing w:after="0" w:line="240" w:lineRule="auto"/>
      <w:tabs>
        <w:tab w:val="center" w:pos="7143" w:leader="none"/>
        <w:tab w:val="right" w:pos="14287" w:leader="none"/>
      </w:tabs>
    </w:pPr>
  </w:style>
  <w:style w:type="character" w:styleId="43">
    <w:name w:val="Header Char"/>
    <w:basedOn w:val="601"/>
    <w:link w:val="42"/>
    <w:uiPriority w:val="99"/>
  </w:style>
  <w:style w:type="paragraph" w:styleId="44">
    <w:name w:val="Footer"/>
    <w:basedOn w:val="599"/>
    <w:link w:val="47"/>
    <w:uiPriority w:val="99"/>
    <w:unhideWhenUsed/>
    <w:pPr>
      <w:spacing w:after="0" w:line="240" w:lineRule="auto"/>
      <w:tabs>
        <w:tab w:val="center" w:pos="7143" w:leader="none"/>
        <w:tab w:val="right" w:pos="14287" w:leader="none"/>
      </w:tabs>
    </w:pPr>
  </w:style>
  <w:style w:type="character" w:styleId="45">
    <w:name w:val="Footer Char"/>
    <w:basedOn w:val="601"/>
    <w:link w:val="44"/>
    <w:uiPriority w:val="99"/>
  </w:style>
  <w:style w:type="paragraph" w:styleId="46">
    <w:name w:val="Caption"/>
    <w:basedOn w:val="599"/>
    <w:next w:val="599"/>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0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0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0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0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0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0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0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0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0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0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0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0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0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0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0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60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0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0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0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0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0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0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0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02"/>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0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0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0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02"/>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0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0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0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0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0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0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0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0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0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0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0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60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0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60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0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0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0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60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0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0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0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0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0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0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0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0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0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0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0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60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0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0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60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0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0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0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60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0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0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60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0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0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0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60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0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599"/>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01"/>
    <w:uiPriority w:val="99"/>
    <w:unhideWhenUsed/>
    <w:rPr>
      <w:vertAlign w:val="superscript"/>
    </w:rPr>
  </w:style>
  <w:style w:type="paragraph" w:styleId="178">
    <w:name w:val="endnote text"/>
    <w:basedOn w:val="599"/>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01"/>
    <w:uiPriority w:val="99"/>
    <w:semiHidden/>
    <w:unhideWhenUsed/>
    <w:rPr>
      <w:vertAlign w:val="superscript"/>
    </w:rPr>
  </w:style>
  <w:style w:type="paragraph" w:styleId="181">
    <w:name w:val="toc 1"/>
    <w:basedOn w:val="599"/>
    <w:next w:val="599"/>
    <w:uiPriority w:val="39"/>
    <w:unhideWhenUsed/>
    <w:pPr>
      <w:ind w:left="0" w:right="0" w:firstLine="0"/>
      <w:spacing w:after="57"/>
    </w:pPr>
  </w:style>
  <w:style w:type="paragraph" w:styleId="182">
    <w:name w:val="toc 2"/>
    <w:basedOn w:val="599"/>
    <w:next w:val="599"/>
    <w:uiPriority w:val="39"/>
    <w:unhideWhenUsed/>
    <w:pPr>
      <w:ind w:left="283" w:right="0" w:firstLine="0"/>
      <w:spacing w:after="57"/>
    </w:pPr>
  </w:style>
  <w:style w:type="paragraph" w:styleId="183">
    <w:name w:val="toc 3"/>
    <w:basedOn w:val="599"/>
    <w:next w:val="599"/>
    <w:uiPriority w:val="39"/>
    <w:unhideWhenUsed/>
    <w:pPr>
      <w:ind w:left="567" w:right="0" w:firstLine="0"/>
      <w:spacing w:after="57"/>
    </w:pPr>
  </w:style>
  <w:style w:type="paragraph" w:styleId="184">
    <w:name w:val="toc 4"/>
    <w:basedOn w:val="599"/>
    <w:next w:val="599"/>
    <w:uiPriority w:val="39"/>
    <w:unhideWhenUsed/>
    <w:pPr>
      <w:ind w:left="850" w:right="0" w:firstLine="0"/>
      <w:spacing w:after="57"/>
    </w:pPr>
  </w:style>
  <w:style w:type="paragraph" w:styleId="185">
    <w:name w:val="toc 5"/>
    <w:basedOn w:val="599"/>
    <w:next w:val="599"/>
    <w:uiPriority w:val="39"/>
    <w:unhideWhenUsed/>
    <w:pPr>
      <w:ind w:left="1134" w:right="0" w:firstLine="0"/>
      <w:spacing w:after="57"/>
    </w:pPr>
  </w:style>
  <w:style w:type="paragraph" w:styleId="186">
    <w:name w:val="toc 6"/>
    <w:basedOn w:val="599"/>
    <w:next w:val="599"/>
    <w:uiPriority w:val="39"/>
    <w:unhideWhenUsed/>
    <w:pPr>
      <w:ind w:left="1417" w:right="0" w:firstLine="0"/>
      <w:spacing w:after="57"/>
    </w:pPr>
  </w:style>
  <w:style w:type="paragraph" w:styleId="187">
    <w:name w:val="toc 7"/>
    <w:basedOn w:val="599"/>
    <w:next w:val="599"/>
    <w:uiPriority w:val="39"/>
    <w:unhideWhenUsed/>
    <w:pPr>
      <w:ind w:left="1701" w:right="0" w:firstLine="0"/>
      <w:spacing w:after="57"/>
    </w:pPr>
  </w:style>
  <w:style w:type="paragraph" w:styleId="188">
    <w:name w:val="toc 8"/>
    <w:basedOn w:val="599"/>
    <w:next w:val="599"/>
    <w:uiPriority w:val="39"/>
    <w:unhideWhenUsed/>
    <w:pPr>
      <w:ind w:left="1984" w:right="0" w:firstLine="0"/>
      <w:spacing w:after="57"/>
    </w:pPr>
  </w:style>
  <w:style w:type="paragraph" w:styleId="189">
    <w:name w:val="toc 9"/>
    <w:basedOn w:val="599"/>
    <w:next w:val="599"/>
    <w:uiPriority w:val="39"/>
    <w:unhideWhenUsed/>
    <w:pPr>
      <w:ind w:left="2268" w:right="0" w:firstLine="0"/>
      <w:spacing w:after="57"/>
    </w:pPr>
  </w:style>
  <w:style w:type="paragraph" w:styleId="190">
    <w:name w:val="TOC Heading"/>
    <w:uiPriority w:val="39"/>
    <w:unhideWhenUsed/>
  </w:style>
  <w:style w:type="paragraph" w:styleId="191">
    <w:name w:val="table of figures"/>
    <w:basedOn w:val="599"/>
    <w:next w:val="599"/>
    <w:uiPriority w:val="99"/>
    <w:unhideWhenUsed/>
    <w:pPr>
      <w:spacing w:after="0" w:afterAutospacing="0"/>
    </w:pPr>
  </w:style>
  <w:style w:type="paragraph" w:styleId="599" w:default="1">
    <w:name w:val="Normal"/>
    <w:qFormat/>
  </w:style>
  <w:style w:type="paragraph" w:styleId="600">
    <w:name w:val="Heading 1"/>
    <w:basedOn w:val="599"/>
    <w:link w:val="604"/>
    <w:uiPriority w:val="9"/>
    <w:qFormat/>
    <w:pPr>
      <w:spacing w:before="100" w:beforeAutospacing="1" w:after="100" w:afterAutospacing="1"/>
      <w:outlineLvl w:val="0"/>
    </w:pPr>
    <w:rPr>
      <w:rFonts w:ascii="Times New Roman" w:hAnsi="Times New Roman" w:eastAsia="Times New Roman" w:cs="Times New Roman"/>
      <w:b/>
      <w:bCs/>
      <w:sz w:val="48"/>
      <w:szCs w:val="48"/>
      <w:lang w:eastAsia="en-GB"/>
    </w:rPr>
  </w:style>
  <w:style w:type="character" w:styleId="601" w:default="1">
    <w:name w:val="Default Paragraph Font"/>
    <w:uiPriority w:val="1"/>
    <w:semiHidden/>
    <w:unhideWhenUsed/>
  </w:style>
  <w:style w:type="table" w:styleId="602" w:default="1">
    <w:name w:val="Normal Table"/>
    <w:uiPriority w:val="99"/>
    <w:semiHidden/>
    <w:unhideWhenUsed/>
    <w:tblPr>
      <w:tblInd w:w="0" w:type="dxa"/>
      <w:tblCellMar>
        <w:left w:w="108" w:type="dxa"/>
        <w:top w:w="0" w:type="dxa"/>
        <w:right w:w="108" w:type="dxa"/>
        <w:bottom w:w="0" w:type="dxa"/>
      </w:tblCellMar>
    </w:tblPr>
  </w:style>
  <w:style w:type="numbering" w:styleId="603" w:default="1">
    <w:name w:val="No List"/>
    <w:uiPriority w:val="99"/>
    <w:semiHidden/>
    <w:unhideWhenUsed/>
  </w:style>
  <w:style w:type="character" w:styleId="604" w:customStyle="1">
    <w:name w:val="Heading 1 Char"/>
    <w:basedOn w:val="601"/>
    <w:link w:val="600"/>
    <w:uiPriority w:val="9"/>
    <w:rPr>
      <w:rFonts w:ascii="Times New Roman" w:hAnsi="Times New Roman" w:eastAsia="Times New Roman" w:cs="Times New Roman"/>
      <w:b/>
      <w:bCs/>
      <w:sz w:val="48"/>
      <w:szCs w:val="48"/>
      <w:lang w:eastAsia="en-GB"/>
    </w:rPr>
  </w:style>
  <w:style w:type="paragraph" w:styleId="605">
    <w:name w:val="Normal (Web)"/>
    <w:basedOn w:val="599"/>
    <w:uiPriority w:val="99"/>
    <w:semiHidden/>
    <w:unhideWhenUsed/>
    <w:pPr>
      <w:spacing w:before="100" w:beforeAutospacing="1" w:after="100" w:afterAutospacing="1"/>
    </w:pPr>
    <w:rPr>
      <w:rFonts w:ascii="Times New Roman" w:hAnsi="Times New Roman" w:eastAsia="Times New Roman" w:cs="Times New Roman"/>
      <w:lang w:eastAsia="en-GB"/>
    </w:rPr>
  </w:style>
  <w:style w:type="character" w:styleId="606">
    <w:name w:val="Strong"/>
    <w:basedOn w:val="601"/>
    <w:uiPriority w:val="22"/>
    <w:qFormat/>
    <w:rPr>
      <w:b/>
      <w:bCs/>
    </w:rPr>
  </w:style>
  <w:style w:type="character" w:styleId="607">
    <w:name w:val="Emphasis"/>
    <w:basedOn w:val="601"/>
    <w:uiPriority w:val="20"/>
    <w:qFormat/>
    <w:rPr>
      <w:i/>
      <w:iCs/>
    </w:rPr>
  </w:style>
  <w:style w:type="character" w:styleId="608">
    <w:name w:val="Hyperlink"/>
    <w:basedOn w:val="601"/>
    <w:uiPriority w:val="99"/>
    <w:unhideWhenUsed/>
    <w:rPr>
      <w:color w:val="0563c1" w:themeColor="hyperlink"/>
      <w:u w:val="single"/>
    </w:rPr>
  </w:style>
  <w:style w:type="character" w:styleId="609">
    <w:name w:val="Unresolved Mention"/>
    <w:basedOn w:val="601"/>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s://orcid.org/0000-0001-7848-4912" TargetMode="External"/><Relationship Id="rId9" Type="http://schemas.openxmlformats.org/officeDocument/2006/relationships/hyperlink" Target="https://orcid.org/0000-0002-0658-6095" TargetMode="External"/><Relationship Id="rId10" Type="http://schemas.openxmlformats.org/officeDocument/2006/relationships/hyperlink" Target="https://orcid.org/0000-0002-0390-4377" TargetMode="External"/><Relationship Id="rId11" Type="http://schemas.openxmlformats.org/officeDocument/2006/relationships/hyperlink" Target="https://orcid.org/0000-0002-4259-977" TargetMode="External"/><Relationship Id="rId12" Type="http://schemas.openxmlformats.org/officeDocument/2006/relationships/hyperlink" Target="https://orcid.org/0000-0002-3961-067X"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onlyoffice/7.3.3.49</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Mason</dc:creator>
  <cp:keywords/>
  <dc:description/>
  <cp:lastModifiedBy>yolante.jones@anu.edu.au</cp:lastModifiedBy>
  <cp:revision>3</cp:revision>
  <dcterms:created xsi:type="dcterms:W3CDTF">2022-01-10T02:30:00Z</dcterms:created>
  <dcterms:modified xsi:type="dcterms:W3CDTF">2023-08-11T00:56:51Z</dcterms:modified>
</cp:coreProperties>
</file>